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60"/>
        <w:gridCol w:w="3690"/>
      </w:tblGrid>
      <w:tr w:rsidR="000325CE">
        <w:tc>
          <w:tcPr>
            <w:tcW w:w="6059" w:type="dxa"/>
            <w:shd w:val="clear" w:color="auto" w:fill="auto"/>
          </w:tcPr>
          <w:p w:rsidR="000325CE" w:rsidRDefault="000325CE">
            <w:pPr>
              <w:pStyle w:val="a8"/>
              <w:rPr>
                <w:color w:val="000000"/>
                <w:sz w:val="28"/>
                <w:szCs w:val="28"/>
              </w:rPr>
            </w:pPr>
          </w:p>
          <w:p w:rsidR="000325CE" w:rsidRDefault="000325CE">
            <w:pPr>
              <w:pStyle w:val="a8"/>
              <w:rPr>
                <w:color w:val="000000"/>
                <w:sz w:val="28"/>
                <w:szCs w:val="28"/>
              </w:rPr>
            </w:pPr>
          </w:p>
          <w:p w:rsidR="000325CE" w:rsidRDefault="000325CE">
            <w:pPr>
              <w:pStyle w:val="a8"/>
              <w:rPr>
                <w:color w:val="000000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auto"/>
          </w:tcPr>
          <w:p w:rsidR="000325CE" w:rsidRDefault="002B79DD">
            <w:pPr>
              <w:pStyle w:val="a8"/>
            </w:pPr>
            <w:r>
              <w:rPr>
                <w:color w:val="000000"/>
                <w:sz w:val="28"/>
                <w:szCs w:val="28"/>
              </w:rPr>
              <w:t>Додаток 2</w:t>
            </w:r>
          </w:p>
          <w:p w:rsidR="000325CE" w:rsidRDefault="002B79DD">
            <w:pPr>
              <w:pStyle w:val="a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 рішення </w:t>
            </w:r>
          </w:p>
          <w:p w:rsidR="000325CE" w:rsidRDefault="002B79DD">
            <w:pPr>
              <w:pStyle w:val="a8"/>
              <w:ind w:left="-5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Решетилівської міської</w:t>
            </w:r>
          </w:p>
          <w:p w:rsidR="000325CE" w:rsidRDefault="002B79DD">
            <w:pPr>
              <w:pStyle w:val="a8"/>
              <w:ind w:left="-55" w:right="-1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ради восьмого   скликання</w:t>
            </w:r>
          </w:p>
          <w:p w:rsidR="000325CE" w:rsidRDefault="002B79DD">
            <w:pPr>
              <w:pStyle w:val="a8"/>
              <w:rPr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 xml:space="preserve">27 березня 2026 року </w:t>
            </w:r>
          </w:p>
          <w:p w:rsidR="000325CE" w:rsidRDefault="002B79DD">
            <w:pPr>
              <w:pStyle w:val="a8"/>
            </w:pPr>
            <w:r>
              <w:rPr>
                <w:color w:val="000000"/>
                <w:sz w:val="28"/>
                <w:szCs w:val="28"/>
              </w:rPr>
              <w:t>№2544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-67-</w:t>
            </w:r>
            <w:r>
              <w:rPr>
                <w:color w:val="000000"/>
                <w:sz w:val="28"/>
                <w:szCs w:val="28"/>
                <w:lang w:val="en-US"/>
              </w:rPr>
              <w:t>VIII</w:t>
            </w:r>
          </w:p>
          <w:p w:rsidR="000325CE" w:rsidRDefault="002B79DD">
            <w:pPr>
              <w:pStyle w:val="a8"/>
            </w:pPr>
            <w:r w:rsidRPr="002B79DD">
              <w:rPr>
                <w:color w:val="000000"/>
                <w:sz w:val="28"/>
                <w:szCs w:val="28"/>
                <w:lang w:val="ru-RU"/>
              </w:rPr>
              <w:t xml:space="preserve">(67 </w:t>
            </w:r>
            <w:r>
              <w:rPr>
                <w:color w:val="000000"/>
                <w:sz w:val="28"/>
                <w:szCs w:val="28"/>
              </w:rPr>
              <w:t>сесія</w:t>
            </w:r>
            <w:r w:rsidRPr="002B79DD">
              <w:rPr>
                <w:color w:val="000000"/>
                <w:sz w:val="28"/>
                <w:szCs w:val="28"/>
                <w:lang w:val="ru-RU"/>
              </w:rPr>
              <w:t>)</w:t>
            </w:r>
          </w:p>
          <w:p w:rsidR="000325CE" w:rsidRDefault="000325CE">
            <w:pPr>
              <w:pStyle w:val="a8"/>
              <w:rPr>
                <w:color w:val="000000"/>
                <w:sz w:val="28"/>
                <w:szCs w:val="28"/>
              </w:rPr>
            </w:pPr>
          </w:p>
          <w:p w:rsidR="000325CE" w:rsidRDefault="002B79DD">
            <w:pPr>
              <w:pStyle w:val="a8"/>
            </w:pPr>
            <w:r>
              <w:rPr>
                <w:color w:val="000000"/>
                <w:sz w:val="28"/>
                <w:szCs w:val="28"/>
              </w:rPr>
              <w:t>Додаток 12</w:t>
            </w:r>
          </w:p>
          <w:p w:rsidR="000325CE" w:rsidRDefault="002B79DD">
            <w:pPr>
              <w:pStyle w:val="a8"/>
            </w:pPr>
            <w:r>
              <w:rPr>
                <w:color w:val="000000"/>
                <w:sz w:val="28"/>
                <w:szCs w:val="28"/>
              </w:rPr>
              <w:t>до Програми</w:t>
            </w:r>
          </w:p>
          <w:p w:rsidR="000325CE" w:rsidRDefault="000325CE">
            <w:pPr>
              <w:pStyle w:val="a8"/>
              <w:rPr>
                <w:color w:val="000000"/>
                <w:sz w:val="28"/>
                <w:szCs w:val="28"/>
              </w:rPr>
            </w:pPr>
          </w:p>
        </w:tc>
      </w:tr>
    </w:tbl>
    <w:p w:rsidR="000325CE" w:rsidRDefault="002B79DD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0325CE" w:rsidRDefault="002B79DD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надання  грошової допомоги Захисникам та Захисницям України, які отримали травми  за обставин, </w:t>
      </w:r>
      <w:r>
        <w:rPr>
          <w:rFonts w:cs="Times New Roman"/>
          <w:b/>
          <w:bCs/>
          <w:sz w:val="28"/>
          <w:szCs w:val="28"/>
        </w:rPr>
        <w:t>пов’язаних з виконанням обов’язків військової служби</w:t>
      </w:r>
    </w:p>
    <w:p w:rsidR="000325CE" w:rsidRDefault="000325CE">
      <w:pPr>
        <w:jc w:val="center"/>
        <w:rPr>
          <w:rFonts w:cs="Times New Roman"/>
          <w:b/>
          <w:bCs/>
          <w:sz w:val="10"/>
          <w:szCs w:val="10"/>
        </w:rPr>
      </w:pP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1. Цей Порядок визначає механізм надання  грошової допомоги особам, </w:t>
      </w:r>
      <w:r>
        <w:rPr>
          <w:rFonts w:cs="Times New Roman"/>
          <w:sz w:val="28"/>
          <w:szCs w:val="28"/>
        </w:rPr>
        <w:t xml:space="preserve">які були призвані на військову службу відповідно до Указів Президента України  ,,Про введення воєнного стану в </w:t>
      </w:r>
      <w:proofErr w:type="spellStart"/>
      <w:r>
        <w:rPr>
          <w:rFonts w:cs="Times New Roman"/>
          <w:sz w:val="28"/>
          <w:szCs w:val="28"/>
        </w:rPr>
        <w:t>Україніˮ</w:t>
      </w:r>
      <w:proofErr w:type="spellEnd"/>
      <w:r>
        <w:rPr>
          <w:rFonts w:cs="Times New Roman"/>
          <w:sz w:val="28"/>
          <w:szCs w:val="28"/>
        </w:rPr>
        <w:t xml:space="preserve"> №64/2022 та  </w:t>
      </w:r>
      <w:r>
        <w:rPr>
          <w:rFonts w:cs="Times New Roman"/>
          <w:sz w:val="28"/>
          <w:szCs w:val="28"/>
        </w:rPr>
        <w:t xml:space="preserve">,,Про загальну </w:t>
      </w:r>
      <w:proofErr w:type="spellStart"/>
      <w:r>
        <w:rPr>
          <w:rFonts w:cs="Times New Roman"/>
          <w:sz w:val="28"/>
          <w:szCs w:val="28"/>
        </w:rPr>
        <w:t>мобілізаціюˮ</w:t>
      </w:r>
      <w:proofErr w:type="spellEnd"/>
      <w:r>
        <w:rPr>
          <w:rFonts w:cs="Times New Roman"/>
          <w:sz w:val="28"/>
          <w:szCs w:val="28"/>
        </w:rPr>
        <w:t xml:space="preserve"> №69/2022 та №65/2022 від 24 лютого 2022 року</w:t>
      </w:r>
      <w:r>
        <w:rPr>
          <w:sz w:val="28"/>
          <w:szCs w:val="28"/>
        </w:rPr>
        <w:t>, особам,</w:t>
      </w:r>
      <w:r>
        <w:rPr>
          <w:rFonts w:cs="Times New Roman"/>
          <w:sz w:val="28"/>
          <w:szCs w:val="28"/>
        </w:rPr>
        <w:t xml:space="preserve"> які несуть військову службу за контрактом</w:t>
      </w:r>
      <w:r>
        <w:rPr>
          <w:sz w:val="28"/>
          <w:szCs w:val="28"/>
        </w:rPr>
        <w:t>, в тому числі внутрішньо переміщеним особам</w:t>
      </w:r>
      <w:r>
        <w:rPr>
          <w:rFonts w:cs="Times New Roman"/>
          <w:sz w:val="28"/>
          <w:szCs w:val="28"/>
        </w:rPr>
        <w:t>,</w:t>
      </w:r>
      <w:r>
        <w:rPr>
          <w:sz w:val="28"/>
          <w:szCs w:val="28"/>
        </w:rPr>
        <w:t xml:space="preserve"> які зареєстровані на території Решетилівської міської територіальної громади та отримал</w:t>
      </w:r>
      <w:r>
        <w:rPr>
          <w:sz w:val="28"/>
          <w:szCs w:val="28"/>
        </w:rPr>
        <w:t>и травми за обставин, пов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язаних з виконанням обов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язків військової служби.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Даний Порядок передбачає обробку персональних даних громадян за згодою заявника відповідно до чинного законодавства.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2. Грошова допомога не носить постійного характеру, а є додатко</w:t>
      </w:r>
      <w:r>
        <w:rPr>
          <w:sz w:val="28"/>
          <w:szCs w:val="28"/>
        </w:rPr>
        <w:t>м до існуючого доходу і надається одноразово за умови надання відповідних документів, які підтверджують статус особи вище зазначеної категорії.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3. Грошова допомога виплачується відповідно до кошторису, затвердженого в бюджеті Решетилівської міської територ</w:t>
      </w:r>
      <w:r>
        <w:rPr>
          <w:sz w:val="28"/>
          <w:szCs w:val="28"/>
        </w:rPr>
        <w:t>іальної громади, в сумі 5 000,00 грн./особі.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Заява та відповідний пакет документів для отримання грошової допомоги подається особисто.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4. Для отримання допомоги до ЦНАП/уповноважених осіб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 подаються наступні документи:</w:t>
      </w:r>
    </w:p>
    <w:p w:rsidR="000325CE" w:rsidRDefault="002B79DD">
      <w:pPr>
        <w:ind w:firstLine="567"/>
        <w:jc w:val="both"/>
      </w:pPr>
      <w:r>
        <w:rPr>
          <w:sz w:val="28"/>
          <w:szCs w:val="28"/>
        </w:rPr>
        <w:t>- згода на збір</w:t>
      </w:r>
      <w:r>
        <w:rPr>
          <w:sz w:val="28"/>
          <w:szCs w:val="28"/>
        </w:rPr>
        <w:t>, а також на обробку персональних даних відповідно до вимог </w:t>
      </w:r>
      <w:hyperlink r:id="rId5" w:anchor="_blank" w:history="1">
        <w:r>
          <w:rPr>
            <w:rStyle w:val="ListLabel1"/>
          </w:rPr>
          <w:t xml:space="preserve">Закону України </w:t>
        </w:r>
        <w:proofErr w:type="spellStart"/>
        <w:r>
          <w:rPr>
            <w:rStyle w:val="ListLabel1"/>
          </w:rPr>
          <w:t>„Про</w:t>
        </w:r>
        <w:proofErr w:type="spellEnd"/>
        <w:r>
          <w:rPr>
            <w:rStyle w:val="ListLabel1"/>
          </w:rPr>
          <w:t xml:space="preserve"> захист персональних </w:t>
        </w:r>
        <w:proofErr w:type="spellStart"/>
        <w:r>
          <w:rPr>
            <w:rStyle w:val="ListLabel1"/>
          </w:rPr>
          <w:t>даних</w:t>
        </w:r>
      </w:hyperlink>
      <w:r>
        <w:rPr>
          <w:sz w:val="28"/>
          <w:szCs w:val="28"/>
        </w:rPr>
        <w:t>ˮ</w:t>
      </w:r>
      <w:proofErr w:type="spellEnd"/>
      <w:r>
        <w:rPr>
          <w:sz w:val="28"/>
          <w:szCs w:val="28"/>
        </w:rPr>
        <w:t xml:space="preserve">; 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заява;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- копія довідки про обставини травми (поранення, контузії, каліцтва) (додаток 5 до Положення про військово-лікарську експертизу в ЗСУ); </w:t>
      </w:r>
    </w:p>
    <w:p w:rsidR="000325CE" w:rsidRDefault="002B79DD">
      <w:pPr>
        <w:pStyle w:val="Default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</w:rPr>
        <w:t xml:space="preserve">- копія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виписки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із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медичної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карти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амбулаторного (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стаціонарного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) хворого (форма № 027/о);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консультаційного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висно</w:t>
      </w:r>
      <w:r>
        <w:rPr>
          <w:rFonts w:eastAsiaTheme="minorHAnsi"/>
          <w:sz w:val="28"/>
          <w:szCs w:val="28"/>
          <w:lang w:val="ru-RU" w:eastAsia="en-US"/>
        </w:rPr>
        <w:t>вка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спеціаліста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(форма № 028/о) – для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громадян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,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які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направляються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на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консультацію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, в тому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числі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й для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необхідності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r>
        <w:rPr>
          <w:rFonts w:eastAsiaTheme="minorHAnsi"/>
          <w:sz w:val="28"/>
          <w:szCs w:val="28"/>
          <w:lang w:val="ru-RU" w:eastAsia="en-US"/>
        </w:rPr>
        <w:lastRenderedPageBreak/>
        <w:t xml:space="preserve">оперативного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втручання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;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довідка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закладу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охорони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здоров’я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про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перебування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на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стаціонарному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лікуванні</w:t>
      </w:r>
      <w:proofErr w:type="spellEnd"/>
      <w:r>
        <w:rPr>
          <w:rFonts w:eastAsiaTheme="minorHAnsi"/>
          <w:sz w:val="28"/>
          <w:szCs w:val="28"/>
          <w:lang w:val="ru-RU" w:eastAsia="en-US"/>
        </w:rPr>
        <w:t>;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документа, що підтверджує проход</w:t>
      </w:r>
      <w:r>
        <w:rPr>
          <w:sz w:val="28"/>
          <w:szCs w:val="28"/>
        </w:rPr>
        <w:t xml:space="preserve">ження військової служби; 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сторінок паспорта/ копія паспорта заявника у формі пластикової картки типу ID-1 (лицьового та зворотного боку);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витяг з реєстру територіальної громади щодо реєстрації місця проживання мобілізованого;</w:t>
      </w:r>
    </w:p>
    <w:p w:rsidR="000325CE" w:rsidRDefault="002B79DD">
      <w:pPr>
        <w:ind w:left="142"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довідки внут</w:t>
      </w:r>
      <w:r>
        <w:rPr>
          <w:sz w:val="28"/>
          <w:szCs w:val="28"/>
        </w:rPr>
        <w:t>рішньо переміщеної особи (у разі потреби);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- копія довідки про присвоєння реєстраційного номера облікової карти платника податків;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банківські реквізити для проведення платіжних операцій мобілізованого.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5. Матеріальна допомога не виплачується в разі якщо</w:t>
      </w:r>
      <w:r>
        <w:rPr>
          <w:sz w:val="28"/>
          <w:szCs w:val="28"/>
        </w:rPr>
        <w:t xml:space="preserve"> травма пов’язана з вчиненням кримінального чи адміністративного правопорушення, є наслідком вчинення дій в стані алкогольного, наркотичного чи токсичного сп’яніння, є наслідком навмисного заподіяння собі тілесного ушкодження та не пов’язана із виконанням </w:t>
      </w:r>
      <w:r>
        <w:rPr>
          <w:sz w:val="28"/>
          <w:szCs w:val="28"/>
        </w:rPr>
        <w:t>обов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язків, пов</w:t>
      </w:r>
      <w:r>
        <w:rPr>
          <w:rFonts w:cs="Times New Roman"/>
          <w:sz w:val="28"/>
          <w:szCs w:val="28"/>
        </w:rPr>
        <w:t>’</w:t>
      </w:r>
      <w:r>
        <w:rPr>
          <w:sz w:val="28"/>
          <w:szCs w:val="28"/>
        </w:rPr>
        <w:t>язаних з  несенням військової служби.</w:t>
      </w:r>
    </w:p>
    <w:p w:rsidR="000325CE" w:rsidRDefault="002B79DD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6. В разі відсутні можливості подачі документів військовослужбовцем, документи на отримання грошової допомоги можуть бути подані членом сім’ї за пред’явленням документу підтверджуючого родинні відносини</w:t>
      </w:r>
      <w:r>
        <w:rPr>
          <w:sz w:val="28"/>
          <w:szCs w:val="28"/>
        </w:rPr>
        <w:t>.</w:t>
      </w:r>
      <w:r>
        <w:t xml:space="preserve"> </w:t>
      </w:r>
    </w:p>
    <w:p w:rsidR="000325CE" w:rsidRDefault="002B79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Після розгляду пакету документів готується розпорядження міського голови, копія якого передається у відділ бухгалтерського обліку, звітності та  адміністративно-господарського забезпечення для виплати грошової допомоги.</w:t>
      </w:r>
    </w:p>
    <w:p w:rsidR="000325CE" w:rsidRDefault="002B79DD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8. Грошова допомога також випл</w:t>
      </w:r>
      <w:r>
        <w:rPr>
          <w:sz w:val="28"/>
          <w:szCs w:val="28"/>
        </w:rPr>
        <w:t>ачується у разі повторного отримання травми військовослужбовцем.</w:t>
      </w:r>
    </w:p>
    <w:p w:rsidR="000325CE" w:rsidRDefault="000325CE">
      <w:pPr>
        <w:ind w:firstLine="567"/>
        <w:jc w:val="both"/>
        <w:rPr>
          <w:sz w:val="28"/>
          <w:szCs w:val="28"/>
        </w:rPr>
      </w:pPr>
    </w:p>
    <w:p w:rsidR="000325CE" w:rsidRDefault="000325CE">
      <w:pPr>
        <w:ind w:firstLine="567"/>
        <w:jc w:val="both"/>
        <w:rPr>
          <w:sz w:val="28"/>
          <w:szCs w:val="28"/>
        </w:rPr>
      </w:pPr>
    </w:p>
    <w:p w:rsidR="000325CE" w:rsidRDefault="000325CE">
      <w:pPr>
        <w:ind w:firstLine="567"/>
        <w:jc w:val="both"/>
        <w:rPr>
          <w:sz w:val="28"/>
          <w:szCs w:val="28"/>
        </w:rPr>
      </w:pPr>
    </w:p>
    <w:p w:rsidR="000325CE" w:rsidRDefault="000325CE">
      <w:pPr>
        <w:ind w:firstLine="567"/>
        <w:jc w:val="both"/>
        <w:rPr>
          <w:sz w:val="28"/>
          <w:szCs w:val="28"/>
        </w:rPr>
      </w:pPr>
    </w:p>
    <w:p w:rsidR="000325CE" w:rsidRDefault="002B79DD">
      <w:pPr>
        <w:keepLine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відділу з питань </w:t>
      </w:r>
    </w:p>
    <w:p w:rsidR="000325CE" w:rsidRDefault="002B79DD">
      <w:pPr>
        <w:keepLines/>
        <w:jc w:val="both"/>
      </w:pPr>
      <w:r>
        <w:rPr>
          <w:color w:val="000000"/>
          <w:sz w:val="28"/>
          <w:szCs w:val="28"/>
        </w:rPr>
        <w:t>ветеранської політики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Михайло ТІТІК</w:t>
      </w:r>
    </w:p>
    <w:sectPr w:rsidR="000325CE">
      <w:pgSz w:w="11906" w:h="16838"/>
      <w:pgMar w:top="1134" w:right="567" w:bottom="1134" w:left="1701" w:header="0" w:footer="0" w:gutter="0"/>
      <w:pgNumType w:start="1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CE"/>
    <w:rsid w:val="000325CE"/>
    <w:rsid w:val="002B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BB"/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8"/>
      <w:szCs w:val="28"/>
    </w:rPr>
  </w:style>
  <w:style w:type="character" w:customStyle="1" w:styleId="ListLabel3">
    <w:name w:val="ListLabel 3"/>
    <w:qFormat/>
    <w:rPr>
      <w:sz w:val="28"/>
      <w:szCs w:val="28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customStyle="1" w:styleId="a8">
    <w:name w:val="Содержимое таблицы"/>
    <w:basedOn w:val="a"/>
    <w:qFormat/>
    <w:rsid w:val="000468BB"/>
    <w:pPr>
      <w:suppressLineNumbers/>
    </w:pPr>
  </w:style>
  <w:style w:type="paragraph" w:customStyle="1" w:styleId="Default">
    <w:name w:val="Default"/>
    <w:qFormat/>
    <w:rsid w:val="000468BB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9">
    <w:name w:val="Balloon Text"/>
    <w:basedOn w:val="a"/>
    <w:link w:val="aa"/>
    <w:uiPriority w:val="99"/>
    <w:semiHidden/>
    <w:unhideWhenUsed/>
    <w:rsid w:val="002B79DD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2B79DD"/>
    <w:rPr>
      <w:rFonts w:ascii="Tahoma" w:eastAsia="Noto Sans CJK SC" w:hAnsi="Tahoma" w:cs="Mangal"/>
      <w:kern w:val="2"/>
      <w:sz w:val="16"/>
      <w:szCs w:val="1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BB"/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sz w:val="28"/>
      <w:szCs w:val="28"/>
    </w:rPr>
  </w:style>
  <w:style w:type="character" w:customStyle="1" w:styleId="ListLabel3">
    <w:name w:val="ListLabel 3"/>
    <w:qFormat/>
    <w:rPr>
      <w:sz w:val="28"/>
      <w:szCs w:val="28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customStyle="1" w:styleId="a8">
    <w:name w:val="Содержимое таблицы"/>
    <w:basedOn w:val="a"/>
    <w:qFormat/>
    <w:rsid w:val="000468BB"/>
    <w:pPr>
      <w:suppressLineNumbers/>
    </w:pPr>
  </w:style>
  <w:style w:type="paragraph" w:customStyle="1" w:styleId="Default">
    <w:name w:val="Default"/>
    <w:qFormat/>
    <w:rsid w:val="000468BB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9">
    <w:name w:val="Balloon Text"/>
    <w:basedOn w:val="a"/>
    <w:link w:val="aa"/>
    <w:uiPriority w:val="99"/>
    <w:semiHidden/>
    <w:unhideWhenUsed/>
    <w:rsid w:val="002B79DD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2B79DD"/>
    <w:rPr>
      <w:rFonts w:ascii="Tahoma" w:eastAsia="Noto Sans CJK SC" w:hAnsi="Tahoma" w:cs="Mangal"/>
      <w:kern w:val="2"/>
      <w:sz w:val="16"/>
      <w:szCs w:val="1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ps.ligazakon.net/document/view/T102297?ed=2017_10_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dc:description/>
  <cp:lastModifiedBy>User-PC</cp:lastModifiedBy>
  <cp:revision>10</cp:revision>
  <cp:lastPrinted>2026-04-02T07:18:00Z</cp:lastPrinted>
  <dcterms:created xsi:type="dcterms:W3CDTF">2026-03-10T06:49:00Z</dcterms:created>
  <dcterms:modified xsi:type="dcterms:W3CDTF">2026-04-02T07:20:00Z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